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小学数学潜力团队“三个主题同题异构”“三备”推进安排表</w:t>
      </w:r>
    </w:p>
    <w:p>
      <w:pPr>
        <w:rPr>
          <w:rFonts w:hint="eastAsia" w:ascii="宋体" w:hAnsi="宋体" w:eastAsia="宋体" w:cs="宋体"/>
          <w:sz w:val="24"/>
          <w:szCs w:val="32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2023年3月23日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50"/>
        <w:gridCol w:w="1110"/>
        <w:gridCol w:w="2430"/>
        <w:gridCol w:w="180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7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蹲点</w:t>
            </w:r>
          </w:p>
        </w:tc>
        <w:tc>
          <w:tcPr>
            <w:tcW w:w="105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组别</w:t>
            </w:r>
          </w:p>
        </w:tc>
        <w:tc>
          <w:tcPr>
            <w:tcW w:w="111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执教人（课题）</w:t>
            </w:r>
          </w:p>
        </w:tc>
        <w:tc>
          <w:tcPr>
            <w:tcW w:w="180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讲座（主讲人）</w:t>
            </w:r>
          </w:p>
        </w:tc>
        <w:tc>
          <w:tcPr>
            <w:tcW w:w="1281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吴荣强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学科组1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3月23日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（一备）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范鑫、  闫波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《尺规作图》</w:t>
            </w:r>
          </w:p>
        </w:tc>
        <w:tc>
          <w:tcPr>
            <w:tcW w:w="1800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黄玲玲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《尺规作图教学思考与实践》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3月30日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范鑫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《尺规作图》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朝阳分校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学科组2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3月21日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（一备）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沙谦、曹昱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《尺规作图》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3月30日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沙谦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《尺规作图》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朝阳分校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房小科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学科组3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3月23日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（一备）</w:t>
            </w:r>
          </w:p>
        </w:tc>
        <w:tc>
          <w:tcPr>
            <w:tcW w:w="24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谭梦秋、高云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《三位数乘两位数笔算》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纪佩桦</w:t>
            </w:r>
          </w:p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《沟通理与法 渗透运算一致性》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常胜小学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3月30日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（二备）</w:t>
            </w:r>
          </w:p>
        </w:tc>
        <w:tc>
          <w:tcPr>
            <w:tcW w:w="24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谭梦秋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《三位数乘两位数笔算》</w:t>
            </w:r>
          </w:p>
        </w:tc>
        <w:tc>
          <w:tcPr>
            <w:tcW w:w="1800" w:type="dxa"/>
            <w:vMerge w:val="continue"/>
            <w:tcBorders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东城小学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学科组4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3月23日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（一备）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韩颖、张亦远</w:t>
            </w:r>
          </w:p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《三位数乘两位数笔算》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3月30日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韩颖</w:t>
            </w:r>
          </w:p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《三位数乘两位数笔算》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东城小学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赵丽娟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学科组5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3月23日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（一备）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黄卓群、沈杰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《纸的厚度》</w:t>
            </w:r>
          </w:p>
        </w:tc>
        <w:tc>
          <w:tcPr>
            <w:tcW w:w="1800" w:type="dxa"/>
            <w:vMerge w:val="restart"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刘留</w:t>
            </w:r>
          </w:p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《纸的厚度教学思考与实践》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3月30日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黄卓群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《纸的厚度》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段玉裁小学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学科组6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3月23日（一备）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冯萱、赵湖楸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《纸的厚度》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段玉裁小学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3月30日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（二备）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赵湖楸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《纸的厚度》</w:t>
            </w:r>
          </w:p>
        </w:tc>
        <w:tc>
          <w:tcPr>
            <w:tcW w:w="1800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段玉裁小学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z w:val="2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FF"/>
          <w:sz w:val="24"/>
          <w:szCs w:val="32"/>
          <w:lang w:val="en-US" w:eastAsia="zh-CN"/>
        </w:rPr>
        <w:t>“三备”说明：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300"/>
        <w:textAlignment w:val="auto"/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FF"/>
          <w:sz w:val="24"/>
          <w:szCs w:val="32"/>
          <w:lang w:val="en-US" w:eastAsia="zh-CN"/>
        </w:rPr>
        <w:t>“一备”，</w:t>
      </w:r>
      <w: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  <w:t>研讨时间为“3月20-3月24日”，六个学科组各组为单位，每组推荐2位老师根据同一主题开展“同题异构”研讨；本周研讨每组推荐1位老师参加下了一轮“二备”；执教老师撰写市教科院“课堂研究申请表”，梳理稿发送截止3月30日；（“一备”研讨活动照，各组上传潜力教师群，“一备”研讨报道撰写人： 张悦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300"/>
        <w:textAlignment w:val="auto"/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FF"/>
          <w:sz w:val="24"/>
          <w:szCs w:val="32"/>
          <w:lang w:val="en-US" w:eastAsia="zh-CN"/>
        </w:rPr>
        <w:t>“二备”，</w:t>
      </w:r>
      <w: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  <w:t>研讨时间为“3月27-3月31日”，每两个学科组整合为单位，每组上周“一备”中推荐出的2位老师再根据同一主题开展“同题异构”研讨；本周研讨活动内容三大组都是由“两节同题异构”＋“一个主题讲座”组成；“二备”研讨活动教师发展中心上传通知，请3月27日潜力团队群分别上传三个主题的活动研讨安排，三个组的蹲点导师分别为房小科、吴荣强、赵丽娟；本周研讨每组推荐1位老师参加下了一轮“三备”（“二备”研讨活动照，各组上传潜力教师群，“二备”研讨报道撰写人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vertAlign w:val="baseline"/>
          <w:lang w:val="en-US" w:eastAsia="zh-CN"/>
        </w:rPr>
        <w:t>华黎艳</w:t>
      </w:r>
      <w: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300"/>
        <w:textAlignment w:val="auto"/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FF"/>
          <w:sz w:val="24"/>
          <w:szCs w:val="32"/>
          <w:lang w:val="en-US" w:eastAsia="zh-CN"/>
        </w:rPr>
        <w:t>“三备”，</w:t>
      </w:r>
      <w: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  <w:t>研讨时间暂定为“4月7日”，由潜力教师团队进行集中展评（3节课＋3个讲座），具体安排届时由教师发展中心统一上传研讨活动通知；（“三  备”研讨活动照，各组上传潜力教师群，“三备”研讨报道撰写人：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程风</w:t>
      </w:r>
      <w: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  <w:t xml:space="preserve"> 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_GB2312" w:hAnsi="楷体_GB2312" w:eastAsia="楷体_GB2312" w:cs="楷体_GB2312"/>
          <w:sz w:val="24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M2M1YzFiNTJhNGFhMzRiZDJmYjAyY2FhMjVkNTMifQ=="/>
  </w:docVars>
  <w:rsids>
    <w:rsidRoot w:val="1AAA2D22"/>
    <w:rsid w:val="0B1F731D"/>
    <w:rsid w:val="121B0248"/>
    <w:rsid w:val="12714E0B"/>
    <w:rsid w:val="16EC600C"/>
    <w:rsid w:val="1AAA2D22"/>
    <w:rsid w:val="299F2C68"/>
    <w:rsid w:val="2ECF4CCD"/>
    <w:rsid w:val="2F702B6A"/>
    <w:rsid w:val="3D06062A"/>
    <w:rsid w:val="47D1415C"/>
    <w:rsid w:val="548C426F"/>
    <w:rsid w:val="55182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524</Words>
  <Characters>540</Characters>
  <TotalTime>1</TotalTime>
  <ScaleCrop>false</ScaleCrop>
  <LinksUpToDate>false</LinksUpToDate>
  <CharactersWithSpaces>601</CharactersWithSpaces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2023-03-19T09:35:00Z</dcterms:created>
  <dc:creator>Administrator</dc:creator>
  <cp:lastModifiedBy>86138</cp:lastModifiedBy>
  <dcterms:modified xsi:type="dcterms:W3CDTF">2023-04-05T13:29:32Z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552E315D2FC04EEE9C4E42D3CDD3093E</vt:lpwstr>
  </property>
</Properties>
</file>